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7584" w14:textId="77777777" w:rsidR="00B95ABA" w:rsidRDefault="00000000">
      <w:pPr>
        <w:jc w:val="center"/>
      </w:pPr>
      <w:r>
        <w:rPr>
          <w:b/>
          <w:color w:val="17365D"/>
          <w:sz w:val="56"/>
        </w:rPr>
        <w:t>JAARVERSLAG &amp; JAARPLAN</w:t>
      </w:r>
      <w:r>
        <w:rPr>
          <w:b/>
          <w:color w:val="17365D"/>
          <w:sz w:val="56"/>
        </w:rPr>
        <w:br/>
        <w:t>PIH ZORGGROEP 2025–2026</w:t>
      </w:r>
    </w:p>
    <w:p w14:paraId="59EB202B" w14:textId="77777777" w:rsidR="00B95ABA" w:rsidRDefault="00000000">
      <w:pPr>
        <w:jc w:val="center"/>
      </w:pPr>
      <w:r>
        <w:rPr>
          <w:i/>
        </w:rPr>
        <w:t>Professionalisering • Kwaliteit • Groei • Herstel</w:t>
      </w:r>
    </w:p>
    <w:p w14:paraId="2C3DFBF2" w14:textId="77777777" w:rsidR="00B95ABA" w:rsidRDefault="00000000">
      <w:r>
        <w:br/>
      </w:r>
    </w:p>
    <w:p w14:paraId="60F74316" w14:textId="77777777" w:rsidR="00B95ABA" w:rsidRDefault="00000000">
      <w:pPr>
        <w:jc w:val="center"/>
      </w:pPr>
      <w:r>
        <w:rPr>
          <w:b/>
        </w:rPr>
        <w:t>Verslagjaar 2025</w:t>
      </w:r>
      <w:r>
        <w:rPr>
          <w:b/>
        </w:rPr>
        <w:br/>
      </w:r>
      <w:r>
        <w:t>Jaarplan 2026</w:t>
      </w:r>
      <w:r>
        <w:br/>
        <w:t>Datum directiebeoordeling: 21 januari 2026</w:t>
      </w:r>
      <w:r>
        <w:br/>
        <w:t>PIH Zorggroep</w:t>
      </w:r>
    </w:p>
    <w:p w14:paraId="08D58A79" w14:textId="77777777" w:rsidR="00B95ABA" w:rsidRDefault="00000000">
      <w:r>
        <w:br w:type="page"/>
      </w:r>
    </w:p>
    <w:p w14:paraId="032DF184" w14:textId="77777777" w:rsidR="00B95ABA" w:rsidRDefault="00000000">
      <w:pPr>
        <w:pStyle w:val="Kop1"/>
      </w:pPr>
      <w:r>
        <w:lastRenderedPageBreak/>
        <w:t>1. Managementsamenvatting</w:t>
      </w:r>
    </w:p>
    <w:p w14:paraId="14971937" w14:textId="77777777" w:rsidR="00B95ABA" w:rsidRDefault="00000000">
      <w:r>
        <w:t>In 2025 heeft PIH Zorggroep belangrijke stappen gezet in de verdere professionalisering van de organisatie, de kwaliteitssystemen en het zorgaanbod. De implementatie van Scienta en de overgang naar het ECD HCI hebben geleid tot meer uniformiteit in dossiervoering, betere stuurinformatie en verbeterde kwaliteitsborging binnen alle locaties.</w:t>
      </w:r>
    </w:p>
    <w:p w14:paraId="03AF18AC" w14:textId="77777777" w:rsidR="00B95ABA" w:rsidRDefault="00000000">
      <w:r>
        <w:t>De succesvolle VKS-hercertificering op 16 oktober 2025 en de ISO 9001:2015-certificering op 28 en 29 oktober 2025 bevestigen dat PIH Zorggroep voldoet aan hoge kwaliteitseisen op het gebied van veilige en verantwoorde zorg.</w:t>
      </w:r>
    </w:p>
    <w:p w14:paraId="6F521FC0" w14:textId="77777777" w:rsidR="00B95ABA" w:rsidRDefault="00000000">
      <w:r>
        <w:t>Daarnaast stond 2025 in het teken van groei en uitbreiding. De opening van Hoenderloo Safehouse Plus en de verdere ontwikkeling van Jeugd in Herstel versterken de positie van PIH Zorggroep binnen de herstel- en verslavingszorg.</w:t>
      </w:r>
    </w:p>
    <w:p w14:paraId="3C98FB77" w14:textId="77777777" w:rsidR="00B95ABA" w:rsidRDefault="00000000">
      <w:pPr>
        <w:pStyle w:val="Kop1"/>
      </w:pPr>
      <w:r>
        <w:t>2. Jaarverslag 2025</w:t>
      </w:r>
    </w:p>
    <w:p w14:paraId="53F3E1AA" w14:textId="77777777" w:rsidR="00B95ABA" w:rsidRDefault="00000000">
      <w:pPr>
        <w:pStyle w:val="Kop2"/>
      </w:pPr>
      <w:r>
        <w:t>2.1 Hoogtepunten 2025</w:t>
      </w:r>
    </w:p>
    <w:p w14:paraId="4E252401" w14:textId="77777777" w:rsidR="00B95ABA" w:rsidRDefault="00000000">
      <w:pPr>
        <w:pStyle w:val="Lijstopsomteken"/>
      </w:pPr>
      <w:r>
        <w:t>Succesvolle implementatie van Scienta inclusief trainingen voor alle medewerkers.</w:t>
      </w:r>
    </w:p>
    <w:p w14:paraId="01E30DC3" w14:textId="77777777" w:rsidR="00B95ABA" w:rsidRDefault="00000000">
      <w:pPr>
        <w:pStyle w:val="Lijstopsomteken"/>
      </w:pPr>
      <w:r>
        <w:t>Overgang naar ECD HCI per 1 juni 2025 met uniforme dossiervoering.</w:t>
      </w:r>
    </w:p>
    <w:p w14:paraId="7E93ABAE" w14:textId="77777777" w:rsidR="00B95ABA" w:rsidRDefault="00000000">
      <w:pPr>
        <w:pStyle w:val="Lijstopsomteken"/>
      </w:pPr>
      <w:r>
        <w:t>VKS-hercertificering behaald op 16 oktober 2025.</w:t>
      </w:r>
    </w:p>
    <w:p w14:paraId="022E3B1D" w14:textId="77777777" w:rsidR="00B95ABA" w:rsidRDefault="00000000">
      <w:pPr>
        <w:pStyle w:val="Lijstopsomteken"/>
      </w:pPr>
      <w:r>
        <w:t>ISO 9001:2015-certificering behaald op 28 en 29 oktober 2025.</w:t>
      </w:r>
    </w:p>
    <w:p w14:paraId="429E662E" w14:textId="77777777" w:rsidR="00B95ABA" w:rsidRDefault="00000000">
      <w:pPr>
        <w:pStyle w:val="Lijstopsomteken"/>
      </w:pPr>
      <w:r>
        <w:t>Opening Hoenderloo Safehouse Plus aan de Kampheuvellaan 34.</w:t>
      </w:r>
    </w:p>
    <w:p w14:paraId="51C2D7B7" w14:textId="77777777" w:rsidR="00B95ABA" w:rsidRDefault="00000000">
      <w:pPr>
        <w:pStyle w:val="Lijstopsomteken"/>
      </w:pPr>
      <w:r>
        <w:t>Omzetting van de organisatie naar een BV-structuur.</w:t>
      </w:r>
    </w:p>
    <w:p w14:paraId="3ADA72A1" w14:textId="77777777" w:rsidR="00B95ABA" w:rsidRDefault="00000000">
      <w:pPr>
        <w:pStyle w:val="Kop2"/>
      </w:pPr>
      <w:r>
        <w:t>2.2 Evaluatie van acties uit vorige directiebeoordelingen</w:t>
      </w:r>
    </w:p>
    <w:p w14:paraId="696C5A96" w14:textId="77777777" w:rsidR="00B95ABA" w:rsidRDefault="00000000">
      <w:pPr>
        <w:pStyle w:val="Lijstopsomteken"/>
      </w:pPr>
      <w:r>
        <w:t>Interne audits van NuGGZ en PIH zijn uitgevoerd en opgevolgd via het verbeterregister.</w:t>
      </w:r>
    </w:p>
    <w:p w14:paraId="7CDC0CFF" w14:textId="77777777" w:rsidR="00B95ABA" w:rsidRDefault="00000000">
      <w:pPr>
        <w:pStyle w:val="Lijstopsomteken"/>
      </w:pPr>
      <w:r>
        <w:t>De implementatie van Scienta is organisatiebreed geborgd.</w:t>
      </w:r>
    </w:p>
    <w:p w14:paraId="20EB910B" w14:textId="77777777" w:rsidR="00B95ABA" w:rsidRDefault="00000000">
      <w:pPr>
        <w:pStyle w:val="Lijstopsomteken"/>
      </w:pPr>
      <w:r>
        <w:t>De ongeplande uitstroom daalde van 31% naar 26%.</w:t>
      </w:r>
    </w:p>
    <w:p w14:paraId="082816F6" w14:textId="77777777" w:rsidR="00B95ABA" w:rsidRDefault="00000000">
      <w:pPr>
        <w:pStyle w:val="Lijstopsomteken"/>
      </w:pPr>
      <w:r>
        <w:t>Safehouse Plus biedt een gespecialiseerde aanpak voor complexe problematiek.</w:t>
      </w:r>
    </w:p>
    <w:p w14:paraId="0505852E" w14:textId="77777777" w:rsidR="00B95ABA" w:rsidRDefault="00000000">
      <w:pPr>
        <w:pStyle w:val="Kop2"/>
      </w:pPr>
      <w:r>
        <w:t>2.3 Externe en interne context</w:t>
      </w:r>
    </w:p>
    <w:p w14:paraId="3FD2F6D3" w14:textId="77777777" w:rsidR="00B95ABA" w:rsidRDefault="00000000">
      <w:pPr>
        <w:pStyle w:val="Lijstopsomteken"/>
      </w:pPr>
      <w:r>
        <w:t>De organisatie opereert binnen de kaders van VKS en ISO 9001.</w:t>
      </w:r>
    </w:p>
    <w:p w14:paraId="1B53D093" w14:textId="77777777" w:rsidR="00B95ABA" w:rsidRDefault="00000000">
      <w:pPr>
        <w:pStyle w:val="Lijstopsomteken"/>
      </w:pPr>
      <w:r>
        <w:t>Klimaatverandering is opgenomen binnen de managementcyclus conform ISO-amendement.</w:t>
      </w:r>
    </w:p>
    <w:p w14:paraId="79755BA9" w14:textId="77777777" w:rsidR="00B95ABA" w:rsidRDefault="00000000">
      <w:pPr>
        <w:pStyle w:val="Lijstopsomteken"/>
      </w:pPr>
      <w:r>
        <w:t>PIH Zorggroep beschikt over sterke samenwerkingsverbanden binnen JW, WMO en ZVW.</w:t>
      </w:r>
    </w:p>
    <w:p w14:paraId="6A6EB62B" w14:textId="77777777" w:rsidR="005F1DBE" w:rsidRDefault="005F1DBE">
      <w:pPr>
        <w:pStyle w:val="Kop2"/>
      </w:pPr>
    </w:p>
    <w:p w14:paraId="623BAF41" w14:textId="77777777" w:rsidR="005F1DBE" w:rsidRDefault="005F1DBE">
      <w:pPr>
        <w:pStyle w:val="Kop2"/>
      </w:pPr>
    </w:p>
    <w:p w14:paraId="135E612E" w14:textId="77777777" w:rsidR="005F1DBE" w:rsidRPr="005F1DBE" w:rsidRDefault="005F1DBE" w:rsidP="005F1DBE"/>
    <w:p w14:paraId="264A4E71" w14:textId="5EC26223" w:rsidR="00B95ABA" w:rsidRDefault="00000000">
      <w:pPr>
        <w:pStyle w:val="Kop2"/>
      </w:pPr>
      <w:r>
        <w:lastRenderedPageBreak/>
        <w:t>2.4 SWOT-</w:t>
      </w:r>
      <w:proofErr w:type="spellStart"/>
      <w:r>
        <w:t>analyse</w:t>
      </w:r>
      <w:proofErr w:type="spellEnd"/>
    </w:p>
    <w:tbl>
      <w:tblPr>
        <w:tblStyle w:val="Tabelraster"/>
        <w:tblW w:w="0" w:type="auto"/>
        <w:tblLook w:val="04A0" w:firstRow="1" w:lastRow="0" w:firstColumn="1" w:lastColumn="0" w:noHBand="0" w:noVBand="1"/>
      </w:tblPr>
      <w:tblGrid>
        <w:gridCol w:w="4320"/>
        <w:gridCol w:w="4320"/>
      </w:tblGrid>
      <w:tr w:rsidR="00B95ABA" w14:paraId="2B936A0C" w14:textId="77777777">
        <w:tc>
          <w:tcPr>
            <w:tcW w:w="4320" w:type="dxa"/>
          </w:tcPr>
          <w:p w14:paraId="0BB01C0C" w14:textId="77777777" w:rsidR="00B95ABA" w:rsidRDefault="00000000">
            <w:r>
              <w:t>Sterktes &amp; Kansen</w:t>
            </w:r>
          </w:p>
        </w:tc>
        <w:tc>
          <w:tcPr>
            <w:tcW w:w="4320" w:type="dxa"/>
          </w:tcPr>
          <w:p w14:paraId="7E30A769" w14:textId="77777777" w:rsidR="00B95ABA" w:rsidRDefault="00000000">
            <w:r>
              <w:t>Zwaktes &amp; Bedreigingen</w:t>
            </w:r>
          </w:p>
        </w:tc>
      </w:tr>
      <w:tr w:rsidR="00B95ABA" w14:paraId="18287988" w14:textId="77777777">
        <w:tc>
          <w:tcPr>
            <w:tcW w:w="4320" w:type="dxa"/>
          </w:tcPr>
          <w:p w14:paraId="51580E6C" w14:textId="77777777" w:rsidR="00B95ABA" w:rsidRDefault="00000000">
            <w:r>
              <w:t>• Gekwalificeerd personeel (MBO/HBO/WO)</w:t>
            </w:r>
            <w:r>
              <w:br/>
              <w:t>• Multidisciplinaire aanpak</w:t>
            </w:r>
            <w:r>
              <w:br/>
              <w:t>• Hoge cliënttevredenheid</w:t>
            </w:r>
            <w:r>
              <w:br/>
              <w:t>• Groei Jeugd in Herstel</w:t>
            </w:r>
            <w:r>
              <w:br/>
              <w:t>• Uitbreiding Safehouse Plus en NuGGZ</w:t>
            </w:r>
          </w:p>
        </w:tc>
        <w:tc>
          <w:tcPr>
            <w:tcW w:w="4320" w:type="dxa"/>
          </w:tcPr>
          <w:p w14:paraId="3A2E2AB0" w14:textId="77777777" w:rsidR="00B95ABA" w:rsidRDefault="00000000">
            <w:r>
              <w:t>• Hoge personeelskosten</w:t>
            </w:r>
            <w:r>
              <w:br/>
              <w:t>• Hoog ziekteverzuim</w:t>
            </w:r>
            <w:r>
              <w:br/>
              <w:t>• Politieke en financiële onzekerheid</w:t>
            </w:r>
            <w:r>
              <w:br/>
              <w:t>• Afhankelijkheid van indicaties en verzekeraars</w:t>
            </w:r>
          </w:p>
        </w:tc>
      </w:tr>
    </w:tbl>
    <w:p w14:paraId="63CB16D8" w14:textId="77777777" w:rsidR="00B95ABA" w:rsidRDefault="00000000">
      <w:pPr>
        <w:pStyle w:val="Kop1"/>
      </w:pPr>
      <w:r>
        <w:t>3. KPI-overzicht 2025–2026</w:t>
      </w:r>
    </w:p>
    <w:tbl>
      <w:tblPr>
        <w:tblStyle w:val="Tabelraster"/>
        <w:tblW w:w="0" w:type="auto"/>
        <w:tblLook w:val="04A0" w:firstRow="1" w:lastRow="0" w:firstColumn="1" w:lastColumn="0" w:noHBand="0" w:noVBand="1"/>
      </w:tblPr>
      <w:tblGrid>
        <w:gridCol w:w="2160"/>
        <w:gridCol w:w="2160"/>
        <w:gridCol w:w="2160"/>
        <w:gridCol w:w="2160"/>
      </w:tblGrid>
      <w:tr w:rsidR="00B95ABA" w14:paraId="64051642" w14:textId="77777777">
        <w:tc>
          <w:tcPr>
            <w:tcW w:w="2160" w:type="dxa"/>
          </w:tcPr>
          <w:p w14:paraId="01383E67" w14:textId="77777777" w:rsidR="00B95ABA" w:rsidRDefault="00000000">
            <w:r>
              <w:t>Thema</w:t>
            </w:r>
          </w:p>
        </w:tc>
        <w:tc>
          <w:tcPr>
            <w:tcW w:w="2160" w:type="dxa"/>
          </w:tcPr>
          <w:p w14:paraId="65BEB867" w14:textId="77777777" w:rsidR="00B95ABA" w:rsidRDefault="00000000">
            <w:r>
              <w:t>2024</w:t>
            </w:r>
          </w:p>
        </w:tc>
        <w:tc>
          <w:tcPr>
            <w:tcW w:w="2160" w:type="dxa"/>
          </w:tcPr>
          <w:p w14:paraId="60B53018" w14:textId="77777777" w:rsidR="00B95ABA" w:rsidRDefault="00000000">
            <w:r>
              <w:t>2025</w:t>
            </w:r>
          </w:p>
        </w:tc>
        <w:tc>
          <w:tcPr>
            <w:tcW w:w="2160" w:type="dxa"/>
          </w:tcPr>
          <w:p w14:paraId="2202E482" w14:textId="77777777" w:rsidR="00B95ABA" w:rsidRDefault="00000000">
            <w:r>
              <w:t>Doel 2026</w:t>
            </w:r>
          </w:p>
        </w:tc>
      </w:tr>
      <w:tr w:rsidR="00B95ABA" w14:paraId="7E95DC39" w14:textId="77777777">
        <w:tc>
          <w:tcPr>
            <w:tcW w:w="2160" w:type="dxa"/>
          </w:tcPr>
          <w:p w14:paraId="3233C34F" w14:textId="77777777" w:rsidR="00B95ABA" w:rsidRDefault="00000000">
            <w:r>
              <w:t>Ongeplande uitstroom</w:t>
            </w:r>
          </w:p>
        </w:tc>
        <w:tc>
          <w:tcPr>
            <w:tcW w:w="2160" w:type="dxa"/>
          </w:tcPr>
          <w:p w14:paraId="06D885AB" w14:textId="77777777" w:rsidR="00B95ABA" w:rsidRDefault="00000000">
            <w:r>
              <w:t>31%</w:t>
            </w:r>
          </w:p>
        </w:tc>
        <w:tc>
          <w:tcPr>
            <w:tcW w:w="2160" w:type="dxa"/>
          </w:tcPr>
          <w:p w14:paraId="3B8CAE0A" w14:textId="77777777" w:rsidR="00B95ABA" w:rsidRDefault="00000000">
            <w:r>
              <w:t>26%</w:t>
            </w:r>
          </w:p>
        </w:tc>
        <w:tc>
          <w:tcPr>
            <w:tcW w:w="2160" w:type="dxa"/>
          </w:tcPr>
          <w:p w14:paraId="1EFD82F6" w14:textId="77777777" w:rsidR="00B95ABA" w:rsidRDefault="00000000">
            <w:r>
              <w:t>≤ 25%</w:t>
            </w:r>
          </w:p>
        </w:tc>
      </w:tr>
      <w:tr w:rsidR="00B95ABA" w14:paraId="627C0144" w14:textId="77777777">
        <w:tc>
          <w:tcPr>
            <w:tcW w:w="2160" w:type="dxa"/>
          </w:tcPr>
          <w:p w14:paraId="562E7423" w14:textId="77777777" w:rsidR="00B95ABA" w:rsidRDefault="00000000">
            <w:r>
              <w:t>Major auditafwijkingen</w:t>
            </w:r>
          </w:p>
        </w:tc>
        <w:tc>
          <w:tcPr>
            <w:tcW w:w="2160" w:type="dxa"/>
          </w:tcPr>
          <w:p w14:paraId="4F2A3F1A" w14:textId="77777777" w:rsidR="00B95ABA" w:rsidRDefault="00000000">
            <w:r>
              <w:t>n.b.</w:t>
            </w:r>
          </w:p>
        </w:tc>
        <w:tc>
          <w:tcPr>
            <w:tcW w:w="2160" w:type="dxa"/>
          </w:tcPr>
          <w:p w14:paraId="22C3A0DD" w14:textId="77777777" w:rsidR="00B95ABA" w:rsidRDefault="00000000">
            <w:r>
              <w:t>0</w:t>
            </w:r>
          </w:p>
        </w:tc>
        <w:tc>
          <w:tcPr>
            <w:tcW w:w="2160" w:type="dxa"/>
          </w:tcPr>
          <w:p w14:paraId="45FEFEA6" w14:textId="77777777" w:rsidR="00B95ABA" w:rsidRDefault="00000000">
            <w:r>
              <w:t>0</w:t>
            </w:r>
          </w:p>
        </w:tc>
      </w:tr>
      <w:tr w:rsidR="00B95ABA" w14:paraId="56673C7E" w14:textId="77777777">
        <w:tc>
          <w:tcPr>
            <w:tcW w:w="2160" w:type="dxa"/>
          </w:tcPr>
          <w:p w14:paraId="4A497B2C" w14:textId="77777777" w:rsidR="00B95ABA" w:rsidRDefault="00000000">
            <w:r>
              <w:t>Cliënttevredenheid</w:t>
            </w:r>
          </w:p>
        </w:tc>
        <w:tc>
          <w:tcPr>
            <w:tcW w:w="2160" w:type="dxa"/>
          </w:tcPr>
          <w:p w14:paraId="00072F4A" w14:textId="77777777" w:rsidR="00B95ABA" w:rsidRDefault="00000000">
            <w:r>
              <w:t>n.b.</w:t>
            </w:r>
          </w:p>
        </w:tc>
        <w:tc>
          <w:tcPr>
            <w:tcW w:w="2160" w:type="dxa"/>
          </w:tcPr>
          <w:p w14:paraId="2EADD75E" w14:textId="77777777" w:rsidR="00B95ABA" w:rsidRDefault="00000000">
            <w:r>
              <w:t>n.t.b.</w:t>
            </w:r>
          </w:p>
        </w:tc>
        <w:tc>
          <w:tcPr>
            <w:tcW w:w="2160" w:type="dxa"/>
          </w:tcPr>
          <w:p w14:paraId="5E2BEE71" w14:textId="77777777" w:rsidR="00B95ABA" w:rsidRDefault="00000000">
            <w:r>
              <w:t>≥ 8,0</w:t>
            </w:r>
          </w:p>
        </w:tc>
      </w:tr>
      <w:tr w:rsidR="00B95ABA" w14:paraId="43504114" w14:textId="77777777">
        <w:tc>
          <w:tcPr>
            <w:tcW w:w="2160" w:type="dxa"/>
          </w:tcPr>
          <w:p w14:paraId="518886A3" w14:textId="77777777" w:rsidR="00B95ABA" w:rsidRDefault="00000000">
            <w:r>
              <w:t>Scholing actueel</w:t>
            </w:r>
          </w:p>
        </w:tc>
        <w:tc>
          <w:tcPr>
            <w:tcW w:w="2160" w:type="dxa"/>
          </w:tcPr>
          <w:p w14:paraId="7DA20563" w14:textId="77777777" w:rsidR="00B95ABA" w:rsidRDefault="00000000">
            <w:r>
              <w:t>n.b.</w:t>
            </w:r>
          </w:p>
        </w:tc>
        <w:tc>
          <w:tcPr>
            <w:tcW w:w="2160" w:type="dxa"/>
          </w:tcPr>
          <w:p w14:paraId="4BB58F90" w14:textId="77777777" w:rsidR="00B95ABA" w:rsidRDefault="00000000">
            <w:r>
              <w:t>n.b.</w:t>
            </w:r>
          </w:p>
        </w:tc>
        <w:tc>
          <w:tcPr>
            <w:tcW w:w="2160" w:type="dxa"/>
          </w:tcPr>
          <w:p w14:paraId="0F517709" w14:textId="77777777" w:rsidR="00B95ABA" w:rsidRDefault="00000000">
            <w:r>
              <w:t>≥ 95%</w:t>
            </w:r>
          </w:p>
        </w:tc>
      </w:tr>
      <w:tr w:rsidR="00B95ABA" w14:paraId="3AA36228" w14:textId="77777777">
        <w:tc>
          <w:tcPr>
            <w:tcW w:w="2160" w:type="dxa"/>
          </w:tcPr>
          <w:p w14:paraId="78DD6791" w14:textId="77777777" w:rsidR="00B95ABA" w:rsidRDefault="00000000">
            <w:r>
              <w:t>RI&amp;E-opvolging</w:t>
            </w:r>
          </w:p>
        </w:tc>
        <w:tc>
          <w:tcPr>
            <w:tcW w:w="2160" w:type="dxa"/>
          </w:tcPr>
          <w:p w14:paraId="60DB1491" w14:textId="77777777" w:rsidR="00B95ABA" w:rsidRDefault="00000000">
            <w:r>
              <w:t>n.b.</w:t>
            </w:r>
          </w:p>
        </w:tc>
        <w:tc>
          <w:tcPr>
            <w:tcW w:w="2160" w:type="dxa"/>
          </w:tcPr>
          <w:p w14:paraId="4FB0F849" w14:textId="77777777" w:rsidR="00B95ABA" w:rsidRDefault="00000000">
            <w:r>
              <w:t>n.t.b.</w:t>
            </w:r>
          </w:p>
        </w:tc>
        <w:tc>
          <w:tcPr>
            <w:tcW w:w="2160" w:type="dxa"/>
          </w:tcPr>
          <w:p w14:paraId="5331DACA" w14:textId="77777777" w:rsidR="00B95ABA" w:rsidRDefault="00000000">
            <w:r>
              <w:t>100%</w:t>
            </w:r>
          </w:p>
        </w:tc>
      </w:tr>
    </w:tbl>
    <w:p w14:paraId="28F96C27" w14:textId="77777777" w:rsidR="00B95ABA" w:rsidRDefault="00000000">
      <w:pPr>
        <w:pStyle w:val="Kop1"/>
      </w:pPr>
      <w:r>
        <w:t>4. Jaarplan 2026</w:t>
      </w:r>
    </w:p>
    <w:p w14:paraId="03B6E2EC" w14:textId="77777777" w:rsidR="00B95ABA" w:rsidRDefault="00000000">
      <w:pPr>
        <w:pStyle w:val="Lijstnummering"/>
      </w:pPr>
      <w:r>
        <w:t>Verlagen van ongeplande uitstroom naar maximaal 25%.</w:t>
      </w:r>
    </w:p>
    <w:p w14:paraId="1A2C278B" w14:textId="77777777" w:rsidR="00B95ABA" w:rsidRDefault="00000000">
      <w:pPr>
        <w:pStyle w:val="Lijstnummering"/>
      </w:pPr>
      <w:r>
        <w:t>Verlagen van ziekteverzuim en verhogen van duurzame inzetbaarheid.</w:t>
      </w:r>
    </w:p>
    <w:p w14:paraId="2AF5AEA1" w14:textId="77777777" w:rsidR="00B95ABA" w:rsidRDefault="00000000">
      <w:pPr>
        <w:pStyle w:val="Lijstnummering"/>
      </w:pPr>
      <w:r>
        <w:t>100% compliance met HCI-dossierafspraken.</w:t>
      </w:r>
    </w:p>
    <w:p w14:paraId="2E3913A2" w14:textId="77777777" w:rsidR="00B95ABA" w:rsidRDefault="00000000">
      <w:pPr>
        <w:pStyle w:val="Lijstnummering"/>
      </w:pPr>
      <w:r>
        <w:t>95% van medewerkers beschikt over een actueel scholingsplan.</w:t>
      </w:r>
    </w:p>
    <w:p w14:paraId="5EB2E9B8" w14:textId="77777777" w:rsidR="00B95ABA" w:rsidRDefault="00000000">
      <w:pPr>
        <w:pStyle w:val="Lijstnummering"/>
      </w:pPr>
      <w:r>
        <w:t>Volledige opvolging van RI&amp;E-maatregelen.</w:t>
      </w:r>
    </w:p>
    <w:p w14:paraId="10BD16B5" w14:textId="77777777" w:rsidR="00B95ABA" w:rsidRDefault="00000000">
      <w:pPr>
        <w:pStyle w:val="Lijstnummering"/>
      </w:pPr>
      <w:r>
        <w:t>Groei van het aandeel WMO-aanbestedingen binnen de omzetmix.</w:t>
      </w:r>
    </w:p>
    <w:p w14:paraId="411CCF95" w14:textId="77777777" w:rsidR="00B95ABA" w:rsidRDefault="00000000">
      <w:pPr>
        <w:pStyle w:val="Kop2"/>
      </w:pPr>
      <w:r>
        <w:t>4.1 Sleutelinitiatieven</w:t>
      </w:r>
    </w:p>
    <w:p w14:paraId="095458F4" w14:textId="77777777" w:rsidR="00B95ABA" w:rsidRDefault="00000000">
      <w:pPr>
        <w:pStyle w:val="Lijstopsomteken"/>
      </w:pPr>
      <w:r>
        <w:t>Ketenprogramma gericht op verlaging van ongeplande uitstroom.</w:t>
      </w:r>
    </w:p>
    <w:p w14:paraId="03E5499C" w14:textId="77777777" w:rsidR="00B95ABA" w:rsidRDefault="00000000">
      <w:pPr>
        <w:pStyle w:val="Lijstopsomteken"/>
      </w:pPr>
      <w:r>
        <w:t>Maandelijkse PDCA-reviews en datagedreven dashboards in HCI.</w:t>
      </w:r>
    </w:p>
    <w:p w14:paraId="0E45854C" w14:textId="77777777" w:rsidR="00B95ABA" w:rsidRDefault="00000000">
      <w:pPr>
        <w:pStyle w:val="Lijstopsomteken"/>
      </w:pPr>
      <w:r>
        <w:t>Roosteroptimalisatie en vitaliteitsprogramma’s voor medewerkers.</w:t>
      </w:r>
    </w:p>
    <w:p w14:paraId="1C175AC0" w14:textId="77777777" w:rsidR="00B95ABA" w:rsidRDefault="00000000">
      <w:pPr>
        <w:pStyle w:val="Lijstopsomteken"/>
      </w:pPr>
      <w:r>
        <w:t>Doorlopende scholing in Scienta, HCI en trauma-sensitief werken.</w:t>
      </w:r>
    </w:p>
    <w:p w14:paraId="47013CAF" w14:textId="77777777" w:rsidR="00B95ABA" w:rsidRDefault="00000000">
      <w:pPr>
        <w:pStyle w:val="Lijstopsomteken"/>
      </w:pPr>
      <w:r>
        <w:t>Verbetering van BHV, brandveiligheid en RI&amp;E-opvolging.</w:t>
      </w:r>
    </w:p>
    <w:p w14:paraId="1581E39D" w14:textId="77777777" w:rsidR="00B95ABA" w:rsidRDefault="00000000">
      <w:pPr>
        <w:pStyle w:val="Lijstopsomteken"/>
      </w:pPr>
      <w:r>
        <w:t>Kostenbeheersing en reductie van externe inhuur.</w:t>
      </w:r>
    </w:p>
    <w:p w14:paraId="3305AFF0" w14:textId="77777777" w:rsidR="00B95ABA" w:rsidRDefault="00000000">
      <w:pPr>
        <w:pStyle w:val="Kop1"/>
      </w:pPr>
      <w:r>
        <w:t>5. Governance &amp; Monitoring</w:t>
      </w:r>
    </w:p>
    <w:p w14:paraId="7C3B62F9" w14:textId="77777777" w:rsidR="00B95ABA" w:rsidRDefault="00000000">
      <w:r>
        <w:t>PIH Zorggroep werkt volgens een continue PDCA-cyclus. Maandelijks worden kwaliteitsindicatoren, MIC-meldingen, audits en verbeteracties besproken. Kwartaalrapportages geven inzicht in voortgang, risico’s en doelstellingen.</w:t>
      </w:r>
    </w:p>
    <w:p w14:paraId="0D50F407" w14:textId="77777777" w:rsidR="00B95ABA" w:rsidRDefault="00000000">
      <w:r>
        <w:br w:type="page"/>
      </w:r>
    </w:p>
    <w:p w14:paraId="75AE76E6" w14:textId="77777777" w:rsidR="00B95ABA" w:rsidRDefault="00000000">
      <w:pPr>
        <w:pStyle w:val="Kop1"/>
      </w:pPr>
      <w:r>
        <w:lastRenderedPageBreak/>
        <w:t>BIJLAGE I – Jaarverslag Raad van Commissarissen</w:t>
      </w:r>
    </w:p>
    <w:p w14:paraId="411444E6" w14:textId="77777777" w:rsidR="00B95ABA" w:rsidRDefault="00000000">
      <w:r>
        <w:br/>
        <w:t>In 2025 heeft de Raad van Toezicht drie keer vergaderd waarbij alle leden en de bestuurder aanwezig waren.</w:t>
      </w:r>
      <w:r>
        <w:br/>
        <w:t>De raad hield toezicht op de strategische ontwikkeling van PIH Zorggroep, NuGGZ en Jeugd in Herstel.</w:t>
      </w:r>
      <w:r>
        <w:br/>
        <w:t>De raad spreekt vertrouwen uit in de verdere groei, professionalisering en continuïteit van de organisatie.</w:t>
      </w:r>
      <w:r>
        <w:br/>
      </w:r>
      <w:r>
        <w:br/>
        <w:t>Samenstelling Raad van Toezicht:</w:t>
      </w:r>
      <w:r>
        <w:br/>
        <w:t>• Dhr. M.L. Odufré – voorzitter</w:t>
      </w:r>
      <w:r>
        <w:br/>
        <w:t>• Mevr. S.C.D. Klokman – lid</w:t>
      </w:r>
      <w:r>
        <w:br/>
        <w:t>• Dhr. H. Kennedy – lid</w:t>
      </w:r>
      <w:r>
        <w:br/>
      </w:r>
      <w:r>
        <w:br/>
        <w:t>De raad heeft bijzondere aandacht besteed aan:</w:t>
      </w:r>
      <w:r>
        <w:br/>
        <w:t>• Personeel en bezetting</w:t>
      </w:r>
      <w:r>
        <w:br/>
        <w:t>• Financiële ontwikkelingen</w:t>
      </w:r>
      <w:r>
        <w:br/>
        <w:t>• Uitbreiding van locaties</w:t>
      </w:r>
      <w:r>
        <w:br/>
        <w:t>• Kwaliteit en veiligheid</w:t>
      </w:r>
      <w:r>
        <w:br/>
        <w:t>• Overgang naar de BV-structuur</w:t>
      </w:r>
      <w:r>
        <w:br/>
      </w:r>
    </w:p>
    <w:p w14:paraId="41A4023F" w14:textId="77777777" w:rsidR="00B95ABA" w:rsidRDefault="00000000">
      <w:pPr>
        <w:pStyle w:val="Kop1"/>
      </w:pPr>
      <w:r>
        <w:t>BIJLAGE II – Jaarverslag Cliëntenraad</w:t>
      </w:r>
    </w:p>
    <w:p w14:paraId="4BF70ACB" w14:textId="77777777" w:rsidR="00B95ABA" w:rsidRDefault="00000000">
      <w:r>
        <w:br/>
        <w:t>De cliëntenraad kijkt terug op een positief en constructief jaar. In 2025 zijn meerdere locaties bezocht,</w:t>
      </w:r>
      <w:r>
        <w:br/>
        <w:t>waaronder Laan van Meerdervoort, Delft, Hoenderloo en Jeugd in Herstel.</w:t>
      </w:r>
      <w:r>
        <w:br/>
      </w:r>
      <w:r>
        <w:br/>
        <w:t>Belangrijke signalen van cliënten:</w:t>
      </w:r>
      <w:r>
        <w:br/>
        <w:t>• Grote waardering voor individuele begeleiding</w:t>
      </w:r>
      <w:r>
        <w:br/>
        <w:t>• Positieve ervaringen met groepssessies</w:t>
      </w:r>
      <w:r>
        <w:br/>
        <w:t>• Praktische verbeterpunten rondom onderhoud en voorzieningen</w:t>
      </w:r>
      <w:r>
        <w:br/>
        <w:t>• Waardering voor snelle opvolging van signalen door directie</w:t>
      </w:r>
      <w:r>
        <w:br/>
      </w:r>
      <w:r>
        <w:br/>
        <w:t>In september vierde Pret in Herstel het 15-jarig jubileum samen met medewerkers, cliënten en oud-cliënten.</w:t>
      </w:r>
      <w:r>
        <w:br/>
        <w:t>De cliëntenraad ziet een organisatie die blijft investeren in herstelgerichte zorg en samenwerking.</w:t>
      </w:r>
      <w:r>
        <w:br/>
      </w:r>
    </w:p>
    <w:p w14:paraId="5F65FAC4" w14:textId="77777777" w:rsidR="00B95ABA" w:rsidRDefault="00000000">
      <w:pPr>
        <w:pStyle w:val="Kop1"/>
      </w:pPr>
      <w:r>
        <w:lastRenderedPageBreak/>
        <w:t>BIJLAGE III – Jaarverslag Vertrouwenspersoon Plus</w:t>
      </w:r>
    </w:p>
    <w:p w14:paraId="6652160E" w14:textId="77777777" w:rsidR="00B95ABA" w:rsidRDefault="00000000">
      <w:r>
        <w:br/>
        <w:t>De externe Vertrouwenspersonen Plus hebben in 2025 twee kwesties behandeld binnen Pret in Herstel.</w:t>
      </w:r>
      <w:r>
        <w:br/>
        <w:t>De meldingen hadden betrekking op arbeidsomstandigheden, communicatie en onheuse bejegening.</w:t>
      </w:r>
      <w:r>
        <w:br/>
        <w:t>Beide meldingen zijn afgerond via opvanggesprekken.</w:t>
      </w:r>
      <w:r>
        <w:br/>
      </w:r>
    </w:p>
    <w:tbl>
      <w:tblPr>
        <w:tblStyle w:val="Tabelraster"/>
        <w:tblW w:w="0" w:type="auto"/>
        <w:tblLook w:val="04A0" w:firstRow="1" w:lastRow="0" w:firstColumn="1" w:lastColumn="0" w:noHBand="0" w:noVBand="1"/>
      </w:tblPr>
      <w:tblGrid>
        <w:gridCol w:w="2880"/>
        <w:gridCol w:w="2880"/>
        <w:gridCol w:w="2880"/>
      </w:tblGrid>
      <w:tr w:rsidR="00B95ABA" w14:paraId="68FC6AEB" w14:textId="77777777">
        <w:tc>
          <w:tcPr>
            <w:tcW w:w="2880" w:type="dxa"/>
          </w:tcPr>
          <w:p w14:paraId="762503A7" w14:textId="77777777" w:rsidR="00B95ABA" w:rsidRDefault="00000000">
            <w:r>
              <w:t>Onderwerp</w:t>
            </w:r>
          </w:p>
        </w:tc>
        <w:tc>
          <w:tcPr>
            <w:tcW w:w="2880" w:type="dxa"/>
          </w:tcPr>
          <w:p w14:paraId="050A2571" w14:textId="77777777" w:rsidR="00B95ABA" w:rsidRDefault="00000000">
            <w:r>
              <w:t>Betrekking op</w:t>
            </w:r>
          </w:p>
        </w:tc>
        <w:tc>
          <w:tcPr>
            <w:tcW w:w="2880" w:type="dxa"/>
          </w:tcPr>
          <w:p w14:paraId="714B189E" w14:textId="77777777" w:rsidR="00B95ABA" w:rsidRDefault="00000000">
            <w:r>
              <w:t>Afhandeling</w:t>
            </w:r>
          </w:p>
        </w:tc>
      </w:tr>
      <w:tr w:rsidR="00B95ABA" w14:paraId="2A1FF2A0" w14:textId="77777777">
        <w:tc>
          <w:tcPr>
            <w:tcW w:w="2880" w:type="dxa"/>
          </w:tcPr>
          <w:p w14:paraId="369EAD70" w14:textId="77777777" w:rsidR="00B95ABA" w:rsidRDefault="00000000">
            <w:r>
              <w:t>Arbeidsomstandigheden, communicatieproblemen en onheuse bejegening</w:t>
            </w:r>
          </w:p>
        </w:tc>
        <w:tc>
          <w:tcPr>
            <w:tcW w:w="2880" w:type="dxa"/>
          </w:tcPr>
          <w:p w14:paraId="00706307" w14:textId="77777777" w:rsidR="00B95ABA" w:rsidRDefault="00000000">
            <w:r>
              <w:t>Medewerker – leidinggevende</w:t>
            </w:r>
          </w:p>
        </w:tc>
        <w:tc>
          <w:tcPr>
            <w:tcW w:w="2880" w:type="dxa"/>
          </w:tcPr>
          <w:p w14:paraId="7293C600" w14:textId="77777777" w:rsidR="00B95ABA" w:rsidRDefault="00000000">
            <w:r>
              <w:t>Opvanggesprek</w:t>
            </w:r>
          </w:p>
        </w:tc>
      </w:tr>
      <w:tr w:rsidR="00B95ABA" w14:paraId="20B69526" w14:textId="77777777">
        <w:tc>
          <w:tcPr>
            <w:tcW w:w="2880" w:type="dxa"/>
          </w:tcPr>
          <w:p w14:paraId="26ABB679" w14:textId="77777777" w:rsidR="00B95ABA" w:rsidRDefault="00000000">
            <w:r>
              <w:t>Arbeidsomstandigheden</w:t>
            </w:r>
          </w:p>
        </w:tc>
        <w:tc>
          <w:tcPr>
            <w:tcW w:w="2880" w:type="dxa"/>
          </w:tcPr>
          <w:p w14:paraId="24840B56" w14:textId="77777777" w:rsidR="00B95ABA" w:rsidRDefault="00000000">
            <w:r>
              <w:t>Medewerker – directie/bestuur</w:t>
            </w:r>
          </w:p>
        </w:tc>
        <w:tc>
          <w:tcPr>
            <w:tcW w:w="2880" w:type="dxa"/>
          </w:tcPr>
          <w:p w14:paraId="78B3B1BD" w14:textId="77777777" w:rsidR="00B95ABA" w:rsidRDefault="00000000">
            <w:r>
              <w:t>Opvanggesprek</w:t>
            </w:r>
          </w:p>
        </w:tc>
      </w:tr>
    </w:tbl>
    <w:p w14:paraId="1784A574" w14:textId="77777777" w:rsidR="00B95ABA" w:rsidRDefault="00000000">
      <w:r>
        <w:br/>
        <w:t>Aanbevelingen van de Vertrouwenspersonen Plus:</w:t>
      </w:r>
      <w:r>
        <w:br/>
        <w:t>• Vergroot de zichtbaarheid van de vertrouwenspersoon binnen de organisatie.</w:t>
      </w:r>
      <w:r>
        <w:br/>
        <w:t>• Maak gebruik van QR-codes, directe telefoonnummers en e-mailadressen.</w:t>
      </w:r>
      <w:r>
        <w:br/>
        <w:t>• Verlaag de drempel voor medewerkers om contact op te nemen.</w:t>
      </w:r>
    </w:p>
    <w:p w14:paraId="56CC1407" w14:textId="77777777" w:rsidR="00B95ABA" w:rsidRDefault="00000000">
      <w:pPr>
        <w:pStyle w:val="Kop1"/>
      </w:pPr>
      <w:r>
        <w:t>6. Conclusie</w:t>
      </w:r>
    </w:p>
    <w:p w14:paraId="6E2935EB" w14:textId="77777777" w:rsidR="00B95ABA" w:rsidRDefault="00000000">
      <w:r>
        <w:t>PIH Zorggroep heeft in 2025 een solide kwaliteitsbasis neergezet en tegelijkertijd een sterke groei doorgemaakt. De organisatie beschikt over een stevig fundament op het gebied van kwaliteit, veiligheid en herstelgerichte zorg. Met het jaarplan 2026 wordt verder gebouwd aan duurzame inzetbaarheid, digitale volwassenheid en optimale ondersteuning van cliënten.</w:t>
      </w:r>
    </w:p>
    <w:sectPr w:rsidR="00B95A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999963060">
    <w:abstractNumId w:val="8"/>
  </w:num>
  <w:num w:numId="2" w16cid:durableId="1946187514">
    <w:abstractNumId w:val="6"/>
  </w:num>
  <w:num w:numId="3" w16cid:durableId="849291697">
    <w:abstractNumId w:val="5"/>
  </w:num>
  <w:num w:numId="4" w16cid:durableId="685834899">
    <w:abstractNumId w:val="4"/>
  </w:num>
  <w:num w:numId="5" w16cid:durableId="299041169">
    <w:abstractNumId w:val="7"/>
  </w:num>
  <w:num w:numId="6" w16cid:durableId="1662342505">
    <w:abstractNumId w:val="3"/>
  </w:num>
  <w:num w:numId="7" w16cid:durableId="644512966">
    <w:abstractNumId w:val="2"/>
  </w:num>
  <w:num w:numId="8" w16cid:durableId="796333128">
    <w:abstractNumId w:val="1"/>
  </w:num>
  <w:num w:numId="9" w16cid:durableId="93081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84BDF"/>
    <w:rsid w:val="005F1DBE"/>
    <w:rsid w:val="00643AE6"/>
    <w:rsid w:val="00AA1D8D"/>
    <w:rsid w:val="00B47730"/>
    <w:rsid w:val="00B95AB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EE588"/>
  <w14:defaultImageDpi w14:val="300"/>
  <w15:docId w15:val="{92F197B6-3D02-EF45-AC44-B6178C8B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776</Words>
  <Characters>5280</Characters>
  <Application>Microsoft Office Word</Application>
  <DocSecurity>0</DocSecurity>
  <Lines>170</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Info Jeugd | Jeugd in Herstel</cp:lastModifiedBy>
  <cp:revision>2</cp:revision>
  <dcterms:created xsi:type="dcterms:W3CDTF">2026-05-18T21:01:00Z</dcterms:created>
  <dcterms:modified xsi:type="dcterms:W3CDTF">2026-05-18T21:01:00Z</dcterms:modified>
  <cp:category/>
</cp:coreProperties>
</file>